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011" w:rsidRDefault="00E94011" w:rsidP="00E94011">
      <w:pPr>
        <w:spacing w:after="0" w:line="240" w:lineRule="auto"/>
        <w:jc w:val="right"/>
        <w:rPr>
          <w:rFonts w:ascii="Times New Roman" w:hAnsi="Times New Roman"/>
          <w:sz w:val="24"/>
          <w:szCs w:val="24"/>
          <w:lang w:val="lt-LT"/>
        </w:rPr>
      </w:pPr>
      <w:bookmarkStart w:id="0" w:name="_GoBack"/>
      <w:bookmarkEnd w:id="0"/>
      <w:r>
        <w:rPr>
          <w:rFonts w:ascii="Times New Roman" w:hAnsi="Times New Roman"/>
          <w:sz w:val="24"/>
          <w:szCs w:val="24"/>
          <w:lang w:val="lt-LT"/>
        </w:rPr>
        <w:t>3 priedas</w:t>
      </w:r>
    </w:p>
    <w:p w:rsidR="00E94011" w:rsidRDefault="00E94011" w:rsidP="00E94011">
      <w:pPr>
        <w:spacing w:after="0" w:line="240" w:lineRule="auto"/>
        <w:ind w:firstLine="720"/>
        <w:jc w:val="both"/>
        <w:rPr>
          <w:rFonts w:ascii="Times New Roman" w:eastAsia="Times New Roman" w:hAnsi="Times New Roman"/>
          <w:color w:val="000000"/>
          <w:sz w:val="24"/>
          <w:szCs w:val="24"/>
          <w:lang w:val="lt-LT"/>
        </w:rPr>
      </w:pPr>
    </w:p>
    <w:p w:rsidR="00E94011" w:rsidRDefault="00E94011" w:rsidP="00E94011">
      <w:pPr>
        <w:spacing w:after="0" w:line="240" w:lineRule="auto"/>
        <w:ind w:firstLine="720"/>
        <w:jc w:val="center"/>
        <w:rPr>
          <w:rFonts w:ascii="Times New Roman" w:eastAsia="Times New Roman" w:hAnsi="Times New Roman"/>
          <w:b/>
          <w:color w:val="000000"/>
          <w:sz w:val="24"/>
          <w:szCs w:val="24"/>
          <w:lang w:val="lt-LT"/>
        </w:rPr>
      </w:pPr>
      <w:r>
        <w:rPr>
          <w:rFonts w:ascii="Times New Roman" w:eastAsia="Times New Roman" w:hAnsi="Times New Roman"/>
          <w:b/>
          <w:color w:val="000000"/>
          <w:sz w:val="24"/>
          <w:szCs w:val="24"/>
          <w:lang w:val="lt-LT"/>
        </w:rPr>
        <w:t>PROGIMNAZIJOS DARBUOTOJO POKALBIO SU VAIKU, GALIMAI PATYRUSIU SMURTĄ ARTIMOJE APLINKOJE, YPATUMAI</w:t>
      </w:r>
    </w:p>
    <w:p w:rsidR="00E94011" w:rsidRDefault="00E94011" w:rsidP="00E94011">
      <w:pPr>
        <w:spacing w:after="0" w:line="240" w:lineRule="auto"/>
        <w:ind w:firstLine="567"/>
        <w:jc w:val="both"/>
        <w:rPr>
          <w:rFonts w:ascii="Times New Roman" w:eastAsia="Times New Roman" w:hAnsi="Times New Roman"/>
          <w:color w:val="000000"/>
          <w:sz w:val="24"/>
          <w:szCs w:val="24"/>
          <w:lang w:val="lt-LT"/>
        </w:rPr>
      </w:pPr>
    </w:p>
    <w:p w:rsidR="00E94011" w:rsidRDefault="00E94011" w:rsidP="00E94011">
      <w:pPr>
        <w:spacing w:after="0" w:line="240" w:lineRule="auto"/>
        <w:ind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Progimnazijos darbuotojas, įtaręs ar pastebėjęs galimo smurto prieš vaiką požymius vaiko kūne, elgesyje, emocijose ar vaiko atstovų pagal įstatymą bendravime su vaiku, turėtų susirūpinti ir pasidomėti, kas jam nutiko. Kalbėdamas su vaiku mokyklos darbuotojas turėtų atkreipti dėmesį į kai kurias pokalbio ypatybes:</w:t>
      </w:r>
    </w:p>
    <w:p w:rsidR="00E94011" w:rsidRDefault="00E94011" w:rsidP="00E94011">
      <w:pPr>
        <w:numPr>
          <w:ilvl w:val="0"/>
          <w:numId w:val="1"/>
        </w:numPr>
        <w:tabs>
          <w:tab w:val="left" w:pos="851"/>
          <w:tab w:val="left" w:pos="1134"/>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sudaryti kiek įmanoma saugesnes ir patogesnes pokalbiui sąlygas (pvz., vienam klasėje), kad vaiko nerimas sumažėtų;</w:t>
      </w:r>
    </w:p>
    <w:p w:rsidR="00E94011" w:rsidRDefault="00E94011" w:rsidP="00E94011">
      <w:pPr>
        <w:numPr>
          <w:ilvl w:val="0"/>
          <w:numId w:val="1"/>
        </w:numPr>
        <w:tabs>
          <w:tab w:val="left" w:pos="851"/>
          <w:tab w:val="left" w:pos="1134"/>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 xml:space="preserve">atsisėsti šalia vaiko arba jam patogiu atstumu viename akių lygyje (nerekomenduojama sėdėti už stalo vienas priešais kitą); </w:t>
      </w:r>
    </w:p>
    <w:p w:rsidR="00E94011" w:rsidRDefault="00E94011" w:rsidP="00E94011">
      <w:pPr>
        <w:numPr>
          <w:ilvl w:val="1"/>
          <w:numId w:val="2"/>
        </w:numPr>
        <w:tabs>
          <w:tab w:val="left" w:pos="851"/>
          <w:tab w:val="left" w:pos="1134"/>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klausti vaiko, kas jam nutiko, užduodant atvirus klausimus (pvz.; „Šiandien pastebėjau mėlynes ant tavo rankos riešo. Kas tau atsitiko?“ Neklausti: „Ar čia tam tikras asmuo tau mėlynes padarė?“);</w:t>
      </w:r>
    </w:p>
    <w:p w:rsidR="00E94011" w:rsidRDefault="00E94011" w:rsidP="00E94011">
      <w:pPr>
        <w:numPr>
          <w:ilvl w:val="0"/>
          <w:numId w:val="2"/>
        </w:numPr>
        <w:tabs>
          <w:tab w:val="left" w:pos="851"/>
          <w:tab w:val="left" w:pos="993"/>
          <w:tab w:val="left" w:pos="1134"/>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 xml:space="preserve">ramiai išklausyti vaiką, nepertraukinėti, leisti pasakyti, kiek vaikas nori / gali; neprarasti savitvardos: matydamas, kad suaugusysis, kuriam vaikas atsiskleidė, išsigando, supyko ar pasibaisėjo, gali išgąsdinti vaiką, jis gali daugiau nebepasakoti arba atsiimti savo žodžius; </w:t>
      </w:r>
    </w:p>
    <w:p w:rsidR="00E94011" w:rsidRDefault="00E94011" w:rsidP="00E94011">
      <w:pPr>
        <w:numPr>
          <w:ilvl w:val="0"/>
          <w:numId w:val="2"/>
        </w:numPr>
        <w:tabs>
          <w:tab w:val="left" w:pos="993"/>
          <w:tab w:val="left" w:pos="1134"/>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tikėti vaiku: jei vaikas prabilo apie smurtą, jis parodė pasitikėjimą suaugusiuoju. Jei vaikas išgirs abejonę, ar jis sako tiesą, daugiau gali nieko nebesakyti, ir smurtas gali tęstis toliau;</w:t>
      </w:r>
    </w:p>
    <w:p w:rsidR="00E94011" w:rsidRDefault="00E94011" w:rsidP="00E94011">
      <w:pPr>
        <w:numPr>
          <w:ilvl w:val="0"/>
          <w:numId w:val="2"/>
        </w:numPr>
        <w:tabs>
          <w:tab w:val="left" w:pos="993"/>
          <w:tab w:val="left" w:pos="1134"/>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nuraminti vaiką, palaikyti jį: vaikui atskleisti smurtą, veikiausiai, reikėjo sukaupti daug drąsos. Svarbu jam perteikti žinią, kad jis gerai pasielgė kreipdamasis pagalbos (pvz., „gerai, kad tu man pasakei apie tai“, „man gaila, kad tau taip atsitiko“);</w:t>
      </w:r>
    </w:p>
    <w:p w:rsidR="00E94011" w:rsidRDefault="00E94011" w:rsidP="00E94011">
      <w:pPr>
        <w:numPr>
          <w:ilvl w:val="0"/>
          <w:numId w:val="2"/>
        </w:numPr>
        <w:tabs>
          <w:tab w:val="left" w:pos="993"/>
          <w:tab w:val="left" w:pos="1134"/>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nekaltinti, nesmerkti, nekritikuoti vaiko: svarbu yra vaikui perduoti vienareikšmišką žinią, kad jis nėra kaltas dėl patirto smurto, už tai yra atsakingas suaugęs žmogus, kuris elgėsi neleistinai;</w:t>
      </w:r>
    </w:p>
    <w:p w:rsidR="00E94011" w:rsidRDefault="00E94011" w:rsidP="00E94011">
      <w:pPr>
        <w:numPr>
          <w:ilvl w:val="1"/>
          <w:numId w:val="2"/>
        </w:numPr>
        <w:tabs>
          <w:tab w:val="left" w:pos="993"/>
          <w:tab w:val="left" w:pos="1134"/>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skatinti vaiką pasidalinti savo išgyvenimais, jausmais: tikėtina, kad vaikas patiria daug įvairių jausmų ir išgyvenimų: baimę būti kaltinamu, baimę dėl smurtautojo keršto, gėdą, kaltę ir kita, kurie jį slegia;</w:t>
      </w:r>
    </w:p>
    <w:p w:rsidR="00E94011" w:rsidRDefault="00E94011" w:rsidP="00E94011">
      <w:pPr>
        <w:numPr>
          <w:ilvl w:val="1"/>
          <w:numId w:val="2"/>
        </w:numPr>
        <w:tabs>
          <w:tab w:val="left" w:pos="851"/>
          <w:tab w:val="left" w:pos="1134"/>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 xml:space="preserve">klausiant, kalbant vartoti suprantamus vaikui žodžius, sąvokas, atitinkančias vaiko amžių, pažintinius gebėjimus ir supratimą, </w:t>
      </w:r>
      <w:proofErr w:type="spellStart"/>
      <w:r>
        <w:rPr>
          <w:rFonts w:ascii="Times New Roman" w:eastAsia="Times New Roman" w:hAnsi="Times New Roman"/>
          <w:color w:val="000000"/>
          <w:sz w:val="24"/>
          <w:szCs w:val="24"/>
          <w:lang w:val="lt-LT"/>
        </w:rPr>
        <w:t>specialiuosiuos</w:t>
      </w:r>
      <w:proofErr w:type="spellEnd"/>
      <w:r>
        <w:rPr>
          <w:rFonts w:ascii="Times New Roman" w:eastAsia="Times New Roman" w:hAnsi="Times New Roman"/>
          <w:color w:val="000000"/>
          <w:sz w:val="24"/>
          <w:szCs w:val="24"/>
          <w:lang w:val="lt-LT"/>
        </w:rPr>
        <w:t xml:space="preserve"> ugdymosi poreikius;</w:t>
      </w:r>
    </w:p>
    <w:p w:rsidR="00E94011" w:rsidRDefault="00E94011" w:rsidP="00E94011">
      <w:pPr>
        <w:numPr>
          <w:ilvl w:val="1"/>
          <w:numId w:val="2"/>
        </w:numPr>
        <w:tabs>
          <w:tab w:val="left" w:pos="993"/>
          <w:tab w:val="left" w:pos="1134"/>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suprasti, kad vaikas gali būti emociškai prisirišęs prie smurtavusio prieš jį asmens (pvz., jei vaiką seksualiai tvirkino tam tikras asmuo, vaikas gali išgyventi labai prieštaringus jausmus – meilę smurtautojui ir neapykantą jam už padarytą skriaudą), vengti jį kaltinančių, vertinančių ar nukreipiančių klausimų, teiginių;</w:t>
      </w:r>
    </w:p>
    <w:p w:rsidR="00E94011" w:rsidRDefault="00E94011" w:rsidP="00E94011">
      <w:pPr>
        <w:numPr>
          <w:ilvl w:val="0"/>
          <w:numId w:val="2"/>
        </w:numPr>
        <w:tabs>
          <w:tab w:val="left" w:pos="993"/>
          <w:tab w:val="left" w:pos="1134"/>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patvirtinti vaikui, kad jis gerai padarė pasisakęs apie patiriamą smurtą;</w:t>
      </w:r>
    </w:p>
    <w:p w:rsidR="00E94011" w:rsidRDefault="00E94011" w:rsidP="00E94011">
      <w:pPr>
        <w:numPr>
          <w:ilvl w:val="1"/>
          <w:numId w:val="2"/>
        </w:numPr>
        <w:tabs>
          <w:tab w:val="left" w:pos="851"/>
          <w:tab w:val="left" w:pos="1134"/>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 xml:space="preserve">pokalbio metu patikinti vaiką, kad smurtas prieš jį – ne jo kaltė, o smurtavusiojo atsakomybė; </w:t>
      </w:r>
    </w:p>
    <w:p w:rsidR="00E94011" w:rsidRDefault="00E94011" w:rsidP="00E94011">
      <w:pPr>
        <w:numPr>
          <w:ilvl w:val="1"/>
          <w:numId w:val="2"/>
        </w:numPr>
        <w:tabs>
          <w:tab w:val="left" w:pos="993"/>
          <w:tab w:val="left" w:pos="1134"/>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klausytis vaiko ir sąžiningai atsakyti į jam kylančius klausimus: vaiką gali kankinti nežinia dėl ateities, smurto atskleidimo pasekmių. Svarbu patikinti vaiką, kad bus stengiamasi užtikrinti jo saugumą, tačiau nežadėti to, ko nėra galimybės išpildyti (pvz., nereiktų vaikui sakyti „Tavo mama nenusimins“);</w:t>
      </w:r>
    </w:p>
    <w:p w:rsidR="00E94011" w:rsidRDefault="00E94011" w:rsidP="00E94011">
      <w:pPr>
        <w:numPr>
          <w:ilvl w:val="1"/>
          <w:numId w:val="2"/>
        </w:numPr>
        <w:tabs>
          <w:tab w:val="left" w:pos="851"/>
          <w:tab w:val="left" w:pos="1134"/>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paaiškinti vaikui (atsižvelgiant į vaiko amžių ir supratimą), kas vyks po to, kai jis pasisakė, kokių veiksmų imsis mokyklos darbuotojas vaikui apsaugoti;</w:t>
      </w:r>
    </w:p>
    <w:p w:rsidR="00E94011" w:rsidRDefault="00E94011" w:rsidP="00E94011">
      <w:pPr>
        <w:numPr>
          <w:ilvl w:val="0"/>
          <w:numId w:val="2"/>
        </w:numPr>
        <w:tabs>
          <w:tab w:val="left" w:pos="993"/>
          <w:tab w:val="left" w:pos="1134"/>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būti prieinamu vaikui, nepalikti jo vieno su savo problema, mintis ir jausmais.</w:t>
      </w:r>
    </w:p>
    <w:p w:rsidR="00E94011" w:rsidRDefault="00E94011" w:rsidP="00E94011">
      <w:pPr>
        <w:spacing w:after="0" w:line="240" w:lineRule="auto"/>
        <w:ind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lastRenderedPageBreak/>
        <w:t xml:space="preserve">Rekomenduojama vaiko papasakotas smurtinės situacijos detales užrašyti kaip įmanoma tiksliau, cituojant vaiko kalbą: kada prasidėjo smurtas, kas tai darė, kas apie tai žino / žinojo, kam vaikas yra dar pasakojęs ar (ir) kodėl nepasakojo, kokie, vaiko supratimu, buvo smurtautojo motyvai, kaip vaikas jautėsi po smurtinio įvykio. Progimnazijos darbuotojas turėtų įvertinti, kiek vaiko pasakojimas galimai realistiškas, ar vaiko nurodomos aplinkybės, faktai atitinka sužalojimų turinį, sunkumą (pvz., ant vaiko rankos matoma suaugusio asmens plaštakos dydžio mėlynė, o vaikas sako, kad jam per ranką sudavė penkiametis brolis). Svarstyti apie vaiko patiriamą smurtą galima, kai vaiko sužalojimai yra neįprasti, jo pasakojimas atrodo neįtikinamas. Svarbu prisiminti, kad smurtą patyrę vaikai dažnai neprisipažįsta, kas ir kaip prieš juos smurtavo, dėl įvairių priežasčių: galvoja (ar yra įtikinti), kad yra patys kalti dėl tokio elgesio su jais; nori būti ištikimi savo smurtautojui; bijo smurto atskleidimo pasekmių ar pan.  </w:t>
      </w:r>
    </w:p>
    <w:p w:rsidR="00E94011" w:rsidRDefault="00E94011" w:rsidP="00E94011">
      <w:pPr>
        <w:spacing w:after="0" w:line="240" w:lineRule="auto"/>
        <w:ind w:firstLine="720"/>
        <w:jc w:val="both"/>
        <w:rPr>
          <w:rFonts w:ascii="Times New Roman" w:eastAsia="Times New Roman" w:hAnsi="Times New Roman"/>
          <w:color w:val="000000"/>
          <w:sz w:val="24"/>
          <w:szCs w:val="24"/>
          <w:lang w:val="lt-LT"/>
        </w:rPr>
      </w:pPr>
    </w:p>
    <w:p w:rsidR="00E94011" w:rsidRDefault="00E94011" w:rsidP="00E94011">
      <w:pPr>
        <w:spacing w:after="0" w:line="240" w:lineRule="auto"/>
        <w:ind w:firstLine="567"/>
        <w:jc w:val="both"/>
        <w:rPr>
          <w:rFonts w:ascii="Times New Roman" w:eastAsia="Times New Roman" w:hAnsi="Times New Roman"/>
          <w:b/>
          <w:color w:val="000000"/>
          <w:sz w:val="24"/>
          <w:szCs w:val="24"/>
          <w:lang w:val="lt-LT"/>
        </w:rPr>
      </w:pPr>
      <w:r>
        <w:rPr>
          <w:rFonts w:ascii="Times New Roman" w:eastAsia="Times New Roman" w:hAnsi="Times New Roman"/>
          <w:b/>
          <w:color w:val="000000"/>
          <w:sz w:val="24"/>
          <w:szCs w:val="24"/>
          <w:lang w:val="lt-LT"/>
        </w:rPr>
        <w:t>Kalbantis su vaiku neleistina:</w:t>
      </w:r>
    </w:p>
    <w:p w:rsidR="00E94011" w:rsidRDefault="00E94011" w:rsidP="00E94011">
      <w:pPr>
        <w:numPr>
          <w:ilvl w:val="0"/>
          <w:numId w:val="3"/>
        </w:numPr>
        <w:tabs>
          <w:tab w:val="left" w:pos="993"/>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žadėti tai, ko nebus galimybės ištesėti, pvz., „tau daugiau nieko blogo neatsitiks“;</w:t>
      </w:r>
    </w:p>
    <w:p w:rsidR="00E94011" w:rsidRDefault="00E94011" w:rsidP="00E94011">
      <w:pPr>
        <w:numPr>
          <w:ilvl w:val="0"/>
          <w:numId w:val="3"/>
        </w:numPr>
        <w:tabs>
          <w:tab w:val="left" w:pos="993"/>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versti vaiką detaliai pasakoti apie patirtą smurtą. Svarbu leisti jam kalbėti tiek, kiek jam norisi;</w:t>
      </w:r>
    </w:p>
    <w:p w:rsidR="00E94011" w:rsidRDefault="00E94011" w:rsidP="00E94011">
      <w:pPr>
        <w:numPr>
          <w:ilvl w:val="0"/>
          <w:numId w:val="3"/>
        </w:numPr>
        <w:tabs>
          <w:tab w:val="left" w:pos="993"/>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vertinti ir klausinėti vaiką apie jo jausmus smurtautojui;</w:t>
      </w:r>
    </w:p>
    <w:p w:rsidR="00E94011" w:rsidRDefault="00E94011" w:rsidP="00E94011">
      <w:pPr>
        <w:numPr>
          <w:ilvl w:val="0"/>
          <w:numId w:val="3"/>
        </w:numPr>
        <w:tabs>
          <w:tab w:val="left" w:pos="993"/>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klausti vaiko, kodėl jis anksčiau nepasakė / nesipriešino smurtui; tai vaikui gali sustiprinti kaltės jausmą; jei yra žinoma, kas yra smurtautojas, leisti jam susitikti su vaiku; šiuos klausimus turi spręsti policija ir (ar) savivaldybės administracijos vaiko teisių apsaugos skyrius;</w:t>
      </w:r>
    </w:p>
    <w:p w:rsidR="00E94011" w:rsidRDefault="00E94011" w:rsidP="00E94011">
      <w:pPr>
        <w:numPr>
          <w:ilvl w:val="0"/>
          <w:numId w:val="3"/>
        </w:numPr>
        <w:tabs>
          <w:tab w:val="left" w:pos="993"/>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leisti vaikui atsiskleisti prie kitų vaikų. Reikia saugoti ir gerbti jo privatumą, neatskleisti ir neaptarinėti informacijos su įvykius nenusijusiems asmenims.</w:t>
      </w:r>
    </w:p>
    <w:p w:rsidR="00E94011" w:rsidRDefault="00E94011" w:rsidP="00E94011">
      <w:pPr>
        <w:spacing w:after="0" w:line="240" w:lineRule="auto"/>
        <w:ind w:firstLine="720"/>
        <w:jc w:val="both"/>
        <w:rPr>
          <w:rFonts w:ascii="Times New Roman" w:eastAsia="Times New Roman" w:hAnsi="Times New Roman"/>
          <w:color w:val="000000"/>
          <w:sz w:val="24"/>
          <w:szCs w:val="24"/>
          <w:lang w:val="lt-LT"/>
        </w:rPr>
      </w:pPr>
    </w:p>
    <w:p w:rsidR="00E94011" w:rsidRDefault="00E94011" w:rsidP="00E94011">
      <w:pPr>
        <w:spacing w:after="0" w:line="240" w:lineRule="auto"/>
        <w:ind w:firstLine="720"/>
        <w:jc w:val="both"/>
        <w:rPr>
          <w:rFonts w:ascii="Times New Roman" w:eastAsia="Times New Roman" w:hAnsi="Times New Roman"/>
          <w:color w:val="000000"/>
          <w:sz w:val="24"/>
          <w:szCs w:val="24"/>
          <w:lang w:val="lt-LT"/>
        </w:rPr>
      </w:pPr>
    </w:p>
    <w:p w:rsidR="00E94011" w:rsidRDefault="00E94011" w:rsidP="00E94011">
      <w:pPr>
        <w:spacing w:after="0" w:line="240" w:lineRule="auto"/>
        <w:ind w:firstLine="720"/>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 xml:space="preserve">SVARBU: Mokyklos darbuotojo įtarimai dėl vaiko galimai patiriamo smurto nėra įrodymai. Įrodymų rinkimas – teisėsaugos specialistų kompetencija. </w:t>
      </w:r>
    </w:p>
    <w:p w:rsidR="00E94011" w:rsidRDefault="00E94011" w:rsidP="00E94011">
      <w:pPr>
        <w:spacing w:after="0" w:line="240" w:lineRule="auto"/>
        <w:jc w:val="both"/>
        <w:rPr>
          <w:rFonts w:ascii="Times New Roman" w:hAnsi="Times New Roman"/>
          <w:sz w:val="24"/>
          <w:szCs w:val="24"/>
          <w:lang w:val="lt-LT"/>
        </w:rPr>
      </w:pPr>
    </w:p>
    <w:p w:rsidR="00E94011" w:rsidRDefault="00E94011" w:rsidP="00E94011">
      <w:pPr>
        <w:spacing w:after="0" w:line="240" w:lineRule="auto"/>
        <w:ind w:firstLine="720"/>
        <w:jc w:val="both"/>
        <w:rPr>
          <w:rFonts w:ascii="Times New Roman" w:eastAsia="Times New Roman" w:hAnsi="Times New Roman"/>
          <w:color w:val="000000"/>
          <w:sz w:val="24"/>
          <w:szCs w:val="24"/>
          <w:lang w:val="lt-LT"/>
        </w:rPr>
      </w:pPr>
      <w:r>
        <w:rPr>
          <w:rFonts w:ascii="Times New Roman" w:eastAsia="Times New Roman" w:hAnsi="Times New Roman"/>
          <w:b/>
          <w:color w:val="000000"/>
          <w:sz w:val="24"/>
          <w:szCs w:val="24"/>
          <w:lang w:val="lt-LT"/>
        </w:rPr>
        <w:t>Skubia vaiko apsauga būtina pasirūpinti</w:t>
      </w:r>
      <w:r>
        <w:rPr>
          <w:rFonts w:ascii="Times New Roman" w:eastAsia="Times New Roman" w:hAnsi="Times New Roman"/>
          <w:color w:val="000000"/>
          <w:sz w:val="24"/>
          <w:szCs w:val="24"/>
          <w:lang w:val="lt-LT"/>
        </w:rPr>
        <w:t>, kai:</w:t>
      </w:r>
    </w:p>
    <w:p w:rsidR="00E94011" w:rsidRDefault="00E94011" w:rsidP="00E94011">
      <w:pPr>
        <w:numPr>
          <w:ilvl w:val="0"/>
          <w:numId w:val="4"/>
        </w:numPr>
        <w:tabs>
          <w:tab w:val="left" w:pos="993"/>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 xml:space="preserve">kyla akivaizdus pavojus vaiko fizinei, psichinei sveikatai; </w:t>
      </w:r>
    </w:p>
    <w:p w:rsidR="00E94011" w:rsidRDefault="00E94011" w:rsidP="00E94011">
      <w:pPr>
        <w:numPr>
          <w:ilvl w:val="0"/>
          <w:numId w:val="4"/>
        </w:numPr>
        <w:tabs>
          <w:tab w:val="left" w:pos="993"/>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nėra maisto, vaikas badauja;</w:t>
      </w:r>
    </w:p>
    <w:p w:rsidR="00E94011" w:rsidRDefault="00E94011" w:rsidP="00E94011">
      <w:pPr>
        <w:numPr>
          <w:ilvl w:val="0"/>
          <w:numId w:val="4"/>
        </w:numPr>
        <w:tabs>
          <w:tab w:val="left" w:pos="993"/>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nesaugu dėl higienos stokos (pvz.: tikimybė infekcijoms, nes nėra geriamo vandens ir pan.);</w:t>
      </w:r>
    </w:p>
    <w:p w:rsidR="00E94011" w:rsidRDefault="00E94011" w:rsidP="00E94011">
      <w:pPr>
        <w:numPr>
          <w:ilvl w:val="0"/>
          <w:numId w:val="4"/>
        </w:numPr>
        <w:tabs>
          <w:tab w:val="left" w:pos="993"/>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dėl psichikos sveikatos sutrikimų paūmėjimų vaiko atstovai pagal įstatymą nėra pajėgūs pasirūpinti vaiko fiziniais, psichologiniais, socialiniais poreikiais;</w:t>
      </w:r>
    </w:p>
    <w:p w:rsidR="00E94011" w:rsidRDefault="00E94011" w:rsidP="00E94011">
      <w:pPr>
        <w:numPr>
          <w:ilvl w:val="0"/>
          <w:numId w:val="4"/>
        </w:numPr>
        <w:tabs>
          <w:tab w:val="left" w:pos="993"/>
        </w:tabs>
        <w:spacing w:after="0" w:line="240" w:lineRule="auto"/>
        <w:ind w:left="0" w:firstLine="567"/>
        <w:jc w:val="both"/>
        <w:rPr>
          <w:rFonts w:ascii="Times New Roman" w:eastAsia="Times New Roman" w:hAnsi="Times New Roman"/>
          <w:color w:val="000000"/>
          <w:sz w:val="24"/>
          <w:szCs w:val="24"/>
          <w:lang w:val="lt-LT"/>
        </w:rPr>
      </w:pPr>
      <w:r>
        <w:rPr>
          <w:rFonts w:ascii="Times New Roman" w:eastAsia="Times New Roman" w:hAnsi="Times New Roman"/>
          <w:color w:val="000000"/>
          <w:sz w:val="24"/>
          <w:szCs w:val="24"/>
          <w:lang w:val="lt-LT"/>
        </w:rPr>
        <w:t>yra tikimybė, kad vaiko atstovai pagal įstatymą, vartojantys psichoaktyvias medžiagas (alkoholį, narkotikus) ir apsvaigę nuo jų, artimiausiu metu nesiliaus to daryti.</w:t>
      </w:r>
    </w:p>
    <w:p w:rsidR="00E94011" w:rsidRDefault="00E94011" w:rsidP="00E94011">
      <w:pPr>
        <w:rPr>
          <w:rFonts w:ascii="Times New Roman" w:eastAsia="Times New Roman" w:hAnsi="Times New Roman"/>
          <w:sz w:val="24"/>
          <w:szCs w:val="24"/>
          <w:lang w:val="lt-LT"/>
        </w:rPr>
      </w:pPr>
    </w:p>
    <w:p w:rsidR="00414877" w:rsidRDefault="00E94011" w:rsidP="00E94011">
      <w:pPr>
        <w:jc w:val="center"/>
      </w:pPr>
      <w:r>
        <w:rPr>
          <w:rFonts w:ascii="Times New Roman" w:eastAsia="Times New Roman" w:hAnsi="Times New Roman"/>
          <w:sz w:val="24"/>
          <w:szCs w:val="24"/>
          <w:lang w:eastAsia="lt-LT"/>
        </w:rPr>
        <w:t>_________________________</w:t>
      </w:r>
    </w:p>
    <w:sectPr w:rsidR="00414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04C4"/>
    <w:multiLevelType w:val="hybridMultilevel"/>
    <w:tmpl w:val="AFF2649C"/>
    <w:lvl w:ilvl="0" w:tplc="0427000D">
      <w:start w:val="1"/>
      <w:numFmt w:val="bullet"/>
      <w:lvlText w:val=""/>
      <w:lvlJc w:val="left"/>
      <w:pPr>
        <w:ind w:left="720" w:hanging="360"/>
      </w:pPr>
      <w:rPr>
        <w:rFonts w:ascii="Wingdings" w:hAnsi="Wingdings" w:hint="default"/>
      </w:rPr>
    </w:lvl>
    <w:lvl w:ilvl="1" w:tplc="0427000D">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3627A10"/>
    <w:multiLevelType w:val="hybridMultilevel"/>
    <w:tmpl w:val="5478EA44"/>
    <w:lvl w:ilvl="0" w:tplc="0427000D">
      <w:start w:val="1"/>
      <w:numFmt w:val="bullet"/>
      <w:lvlText w:val=""/>
      <w:lvlJc w:val="left"/>
      <w:pPr>
        <w:ind w:left="1287" w:hanging="360"/>
      </w:pPr>
      <w:rPr>
        <w:rFonts w:ascii="Wingdings" w:hAnsi="Wingdings"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 w15:restartNumberingAfterBreak="0">
    <w:nsid w:val="68845CC5"/>
    <w:multiLevelType w:val="hybridMultilevel"/>
    <w:tmpl w:val="5E0079AE"/>
    <w:lvl w:ilvl="0" w:tplc="0427000D">
      <w:start w:val="1"/>
      <w:numFmt w:val="bullet"/>
      <w:lvlText w:val=""/>
      <w:lvlJc w:val="left"/>
      <w:pPr>
        <w:ind w:left="1440" w:hanging="360"/>
      </w:pPr>
      <w:rPr>
        <w:rFonts w:ascii="Wingdings" w:hAnsi="Wingdings"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 w15:restartNumberingAfterBreak="0">
    <w:nsid w:val="77E021B6"/>
    <w:multiLevelType w:val="hybridMultilevel"/>
    <w:tmpl w:val="1BFE62E4"/>
    <w:lvl w:ilvl="0" w:tplc="0427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11"/>
    <w:rsid w:val="002A2838"/>
    <w:rsid w:val="00414877"/>
    <w:rsid w:val="00E94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00020-4C1F-41F9-B3E4-8713C86A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94011"/>
    <w:pPr>
      <w:spacing w:line="256" w:lineRule="auto"/>
    </w:pPr>
    <w:rPr>
      <w:rFonts w:ascii="Calibri" w:eastAsia="Calibri" w:hAnsi="Calibri" w:cs="Times New Roman"/>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57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3610</Words>
  <Characters>2058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07HPG4-Vite</dc:creator>
  <cp:keywords/>
  <dc:description/>
  <cp:lastModifiedBy>01HPG4-Vite</cp:lastModifiedBy>
  <cp:revision>2</cp:revision>
  <dcterms:created xsi:type="dcterms:W3CDTF">2018-10-16T05:15:00Z</dcterms:created>
  <dcterms:modified xsi:type="dcterms:W3CDTF">2018-10-16T05:15:00Z</dcterms:modified>
</cp:coreProperties>
</file>